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nike-homework-q1q2-answers"/>
    <w:p>
      <w:pPr>
        <w:pStyle w:val="Heading1"/>
      </w:pPr>
      <w:r>
        <w:t xml:space="preserve">Nike Homework: Q1–Q2 Answers</w:t>
      </w:r>
    </w:p>
    <w:p>
      <w:r>
        <w:pict>
          <v:rect style="width:0;height:1.5pt" o:hralign="center" o:hrstd="t" o:hr="t"/>
        </w:pict>
      </w:r>
    </w:p>
    <w:bookmarkStart w:id="25" w:name="question-1-industry-4-sub-questions"/>
    <w:p>
      <w:pPr>
        <w:pStyle w:val="Heading2"/>
      </w:pPr>
      <w:r>
        <w:t xml:space="preserve">Question 1: Industry (4 sub-questions)</w:t>
      </w:r>
    </w:p>
    <w:bookmarkStart w:id="14" w:name="q1.1-revenue-shares-20142025"/>
    <w:p>
      <w:pPr>
        <w:pStyle w:val="Heading3"/>
      </w:pPr>
      <w:r>
        <w:t xml:space="preserve">Q1.1 Revenue Shares (2014–2025)</w:t>
      </w:r>
    </w:p>
    <w:bookmarkStart w:id="12" w:name="chart"/>
    <w:p>
      <w:pPr>
        <w:pStyle w:val="Heading4"/>
      </w:pPr>
      <w:r>
        <w:t xml:space="preserve">Chart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Industry Revenue Shares" title="" id="10" name="Picture"/>
            <a:graphic>
              <a:graphicData uri="http://schemas.openxmlformats.org/drawingml/2006/picture">
                <pic:pic>
                  <pic:nvPicPr>
                    <pic:cNvPr descr="images/industry_revenue_shar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Industry Revenue Shares</w:t>
      </w:r>
    </w:p>
    <w:bookmarkEnd w:id="12"/>
    <w:bookmarkStart w:id="13" w:name="Xe1d055ed5b1f08aa0c5a38b9f2758bb4c0cd553"/>
    <w:p>
      <w:pPr>
        <w:pStyle w:val="Heading4"/>
      </w:pPr>
      <w:r>
        <w:t xml:space="preserve">Is any company gaining ground at the expense of others?</w:t>
      </w:r>
    </w:p>
    <w:p>
      <w:pPr>
        <w:pStyle w:val="FirstParagraph"/>
      </w:pPr>
      <w:r>
        <w:rPr>
          <w:b/>
          <w:bCs/>
        </w:rPr>
        <w:t xml:space="preserve">Yes.</w:t>
      </w:r>
      <w:r>
        <w:t xml:space="preserve"> </w:t>
      </w:r>
      <w:r>
        <w:t xml:space="preserve">From the revenue-share data (2014–2025):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Nike</w:t>
            </w:r>
          </w:p>
        </w:tc>
        <w:tc>
          <w:tcPr/>
          <w:p>
            <w:pPr>
              <w:pStyle w:val="Compact"/>
            </w:pPr>
            <w:r>
              <w:t xml:space="preserve">43.4%</w:t>
            </w:r>
          </w:p>
        </w:tc>
        <w:tc>
          <w:tcPr/>
          <w:p>
            <w:pPr>
              <w:pStyle w:val="Compact"/>
            </w:pPr>
            <w:r>
              <w:t xml:space="preserve">43.8%</w:t>
            </w:r>
          </w:p>
        </w:tc>
        <w:tc>
          <w:tcPr/>
          <w:p>
            <w:pPr>
              <w:pStyle w:val="Compact"/>
            </w:pPr>
            <w:r>
              <w:t xml:space="preserve">+0.4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Adidas</w:t>
            </w:r>
          </w:p>
        </w:tc>
        <w:tc>
          <w:tcPr/>
          <w:p>
            <w:pPr>
              <w:pStyle w:val="Compact"/>
            </w:pPr>
            <w:r>
              <w:t xml:space="preserve">33.5%</w:t>
            </w:r>
          </w:p>
        </w:tc>
        <w:tc>
          <w:tcPr/>
          <w:p>
            <w:pPr>
              <w:pStyle w:val="Compact"/>
            </w:pPr>
            <w:r>
              <w:t xml:space="preserve">27.1%</w:t>
            </w:r>
          </w:p>
        </w:tc>
        <w:tc>
          <w:tcPr/>
          <w:p>
            <w:pPr>
              <w:pStyle w:val="Compact"/>
            </w:pPr>
            <w:r>
              <w:t xml:space="preserve">−6.4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Puma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+2.6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Armour</w:t>
            </w:r>
          </w:p>
        </w:tc>
        <w:tc>
          <w:tcPr/>
          <w:p>
            <w:pPr>
              <w:pStyle w:val="Compact"/>
            </w:pPr>
            <w:r>
              <w:t xml:space="preserve">5.4%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−0.6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Lululemon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+6.9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Asics</w:t>
            </w:r>
          </w:p>
        </w:tc>
        <w:tc>
          <w:tcPr/>
          <w:p>
            <w:pPr>
              <w:pStyle w:val="Compact"/>
            </w:pPr>
            <w:r>
              <w:t xml:space="preserve">7.7%</w:t>
            </w:r>
          </w:p>
        </w:tc>
        <w:tc>
          <w:tcPr/>
          <w:p>
            <w:pPr>
              <w:pStyle w:val="Compact"/>
            </w:pPr>
            <w:r>
              <w:t xml:space="preserve">4.7%</w:t>
            </w:r>
          </w:p>
        </w:tc>
        <w:tc>
          <w:tcPr/>
          <w:p>
            <w:pPr>
              <w:pStyle w:val="Compact"/>
            </w:pPr>
            <w:r>
              <w:t xml:space="preserve">−3.0 pp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Lululemon</w:t>
      </w:r>
      <w:r>
        <w:t xml:space="preserve"> </w:t>
      </w:r>
      <w:r>
        <w:t xml:space="preserve">gained the most share, from 3.1% to 10.0%.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Puma</w:t>
      </w:r>
      <w:r>
        <w:t xml:space="preserve"> </w:t>
      </w:r>
      <w:r>
        <w:t xml:space="preserve">also gained, from 6.9% to 9.5%.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Adidas</w:t>
      </w:r>
      <w:r>
        <w:t xml:space="preserve"> </w:t>
      </w:r>
      <w:r>
        <w:t xml:space="preserve">lost the most share, from 33.5% to 27.1%.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Asics</w:t>
      </w:r>
      <w:r>
        <w:t xml:space="preserve"> </w:t>
      </w:r>
      <w:r>
        <w:t xml:space="preserve">lost share, from 7.7% to 4.7%.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Nike</w:t>
      </w:r>
      <w:r>
        <w:t xml:space="preserve"> </w:t>
      </w:r>
      <w:r>
        <w:t xml:space="preserve">share was roughly flat over the full period, but peaked at 50.4% (2023) before dropping to 43.8% in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 Armour</w:t>
      </w:r>
      <w:r>
        <w:t xml:space="preserve"> </w:t>
      </w:r>
      <w:r>
        <w:t xml:space="preserve">lost share, from 5.4% to 4.8%.</w:t>
      </w:r>
    </w:p>
    <w:bookmarkEnd w:id="13"/>
    <w:bookmarkEnd w:id="14"/>
    <w:bookmarkStart w:id="15" w:name="why"/>
    <w:p>
      <w:pPr>
        <w:pStyle w:val="Heading3"/>
      </w:pPr>
      <w:r>
        <w:t xml:space="preserve">Why?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Lululemon</w:t>
      </w:r>
    </w:p>
    <w:p>
      <w:pPr>
        <w:pStyle w:val="Compact"/>
        <w:numPr>
          <w:ilvl w:val="1"/>
          <w:numId w:val="1003"/>
        </w:numPr>
      </w:pPr>
      <w:r>
        <w:t xml:space="preserve">Strong position in athleisure and yoga/studio wear, particularly among women.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Premium pricing and loyal customer base.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DTC focus and community marketing.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Puma</w:t>
      </w:r>
    </w:p>
    <w:p>
      <w:pPr>
        <w:pStyle w:val="Compact"/>
        <w:numPr>
          <w:ilvl w:val="1"/>
          <w:numId w:val="1004"/>
        </w:numPr>
      </w:pPr>
      <w:r>
        <w:t xml:space="preserve">Brand refresh and product innovation.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Solid performance in football, motorsport, and lifestyle categories.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Gains partly at Adidas’s expense.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Adidas</w:t>
      </w:r>
    </w:p>
    <w:p>
      <w:pPr>
        <w:pStyle w:val="Compact"/>
        <w:numPr>
          <w:ilvl w:val="1"/>
          <w:numId w:val="1005"/>
        </w:numPr>
      </w:pPr>
      <w:r>
        <w:t xml:space="preserve">Weakness in China (Yeezy exit and geopolitical pressure).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Inventory problems and restructuring costs.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Execution issues versus Nike and emerging competitors.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Nike (2023–2025 decline)</w:t>
      </w:r>
    </w:p>
    <w:p>
      <w:pPr>
        <w:pStyle w:val="Compact"/>
        <w:numPr>
          <w:ilvl w:val="1"/>
          <w:numId w:val="1006"/>
        </w:numPr>
      </w:pPr>
      <w:r>
        <w:t xml:space="preserve">Softer demand in North America and China.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Competition from On, Hoka, and Lululemon.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Ongoing wholesale strategy adjustments.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Asics</w:t>
      </w:r>
    </w:p>
    <w:p>
      <w:pPr>
        <w:pStyle w:val="Compact"/>
        <w:numPr>
          <w:ilvl w:val="1"/>
          <w:numId w:val="1007"/>
        </w:numPr>
      </w:pPr>
      <w:r>
        <w:t xml:space="preserve">Smaller global scale versus Nike/Adidas.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More limited DTC and brand reach.</w:t>
      </w:r>
    </w:p>
    <w:p>
      <w:r>
        <w:pict>
          <v:rect style="width:0;height:1.5pt" o:hralign="center" o:hrstd="t" o:hr="t"/>
        </w:pict>
      </w:r>
    </w:p>
    <w:bookmarkEnd w:id="15"/>
    <w:bookmarkStart w:id="21" w:name="q1.2-operating-margins"/>
    <w:p>
      <w:pPr>
        <w:pStyle w:val="Heading3"/>
      </w:pPr>
      <w:r>
        <w:t xml:space="preserve">Q1.2 Operating Margins</w:t>
      </w:r>
    </w:p>
    <w:bookmarkStart w:id="19" w:name="chart-1"/>
    <w:p>
      <w:pPr>
        <w:pStyle w:val="Heading4"/>
      </w:pPr>
      <w:r>
        <w:t xml:space="preserve">Chart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Operating Margins" title="" id="17" name="Picture"/>
            <a:graphic>
              <a:graphicData uri="http://schemas.openxmlformats.org/drawingml/2006/picture">
                <pic:pic>
                  <pic:nvPicPr>
                    <pic:cNvPr descr="images/industry_operating_margin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Operating Margins</w:t>
      </w:r>
    </w:p>
    <w:bookmarkEnd w:id="19"/>
    <w:bookmarkStart w:id="20" w:name="Xb64c92ca175784967e739b4036ef4f060d3b3b4"/>
    <w:p>
      <w:pPr>
        <w:pStyle w:val="Heading4"/>
      </w:pPr>
      <w:r>
        <w:t xml:space="preserve">Which company has the highest operating margins?</w:t>
      </w:r>
    </w:p>
    <w:p>
      <w:pPr>
        <w:pStyle w:val="FirstParagraph"/>
      </w:pPr>
      <w:r>
        <w:rPr>
          <w:b/>
          <w:bCs/>
        </w:rPr>
        <w:t xml:space="preserve">Lululemon</w:t>
      </w:r>
      <w:r>
        <w:t xml:space="preserve"> </w:t>
      </w:r>
      <w:r>
        <w:t xml:space="preserve">has the highest operating margins over the period.</w:t>
      </w:r>
    </w:p>
    <w:p>
      <w:pPr>
        <w:pStyle w:val="BodyText"/>
      </w:pPr>
      <w:r>
        <w:t xml:space="preserve">Approximate ranges (from data):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Lululemon</w:t>
      </w:r>
      <w:r>
        <w:t xml:space="preserve">: 15.7%–28.7%, ~23.6% in FY2025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Nike</w:t>
      </w:r>
      <w:r>
        <w:t xml:space="preserve">: 7.7%–15.7%, ~8.4% in FY2025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Adidas</w:t>
      </w:r>
      <w:r>
        <w:t xml:space="preserve">: 1.2%–10.9%, ~7.0% in FY2025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Puma</w:t>
      </w:r>
      <w:r>
        <w:t xml:space="preserve">: 1.6%–12.3%, ~4.4% in FY2025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 Armour</w:t>
      </w:r>
      <w:r>
        <w:t xml:space="preserve">: −0.3% to 14.2%, ~9.6% in FY2025</w:t>
      </w:r>
    </w:p>
    <w:p>
      <w:pPr>
        <w:pStyle w:val="FirstParagraph"/>
      </w:pPr>
      <w:r>
        <w:t xml:space="preserve">Lululemon’s premium, DTC-led model supports higher pricing and margins than the more wholesale-oriented athletic brands.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Asics operating income is not provided in the data, so Asics is not included in the operating-margin chart or comparison.</w:t>
      </w:r>
    </w:p>
    <w:bookmarkEnd w:id="20"/>
    <w:bookmarkEnd w:id="21"/>
    <w:bookmarkStart w:id="22" w:name="are-margins-stable"/>
    <w:p>
      <w:pPr>
        <w:pStyle w:val="Heading3"/>
      </w:pPr>
      <w:r>
        <w:t xml:space="preserve">Are margins stable?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Margins are volatile across companies and over time: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Lululemon</w:t>
      </w:r>
      <w:r>
        <w:t xml:space="preserve"> </w:t>
      </w:r>
      <w:r>
        <w:t xml:space="preserve">– Most stable and consistently high (roughly 16–29%). Some variation around COVID and expansion.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Nike</w:t>
      </w:r>
      <w:r>
        <w:t xml:space="preserve"> </w:t>
      </w:r>
      <w:r>
        <w:t xml:space="preserve">– Moderate volatility: 12–16% in normal years, dipped to 7.7% in FY2020 (COVID), 8.4% in FY2025 (demand and margin pressure).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Adidas</w:t>
      </w:r>
      <w:r>
        <w:t xml:space="preserve"> </w:t>
      </w:r>
      <w:r>
        <w:t xml:space="preserve">– Highly volatile: 2.5% in 2022, 1.2% in 2023 due to China, Yeezy, and restructuring; recovered to 7.0% in 2025.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Puma</w:t>
      </w:r>
      <w:r>
        <w:t xml:space="preserve"> </w:t>
      </w:r>
      <w:r>
        <w:t xml:space="preserve">– Considerable swings: low single digits in 2014–2016, then improvement; 2020 COVID dip and ongoing variability.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Under Armour</w:t>
      </w:r>
      <w:r>
        <w:t xml:space="preserve"> </w:t>
      </w:r>
      <w:r>
        <w:t xml:space="preserve">– Very unstable: negative (−0.3%) in FY2020, swings from 3% to 14% over the decade; recent rebound to ~9.6% in FY2025.</w:t>
      </w:r>
    </w:p>
    <w:p>
      <w:pPr>
        <w:pStyle w:val="FirstParagraph"/>
      </w:pPr>
      <w:r>
        <w:t xml:space="preserve">COVID (2020–2021) clearly pressured margins for most firms; Adidas also faced brand-specific and China issues in 2022–2023.</w:t>
      </w:r>
    </w:p>
    <w:p>
      <w:r>
        <w:pict>
          <v:rect style="width:0;height:1.5pt" o:hralign="center" o:hrstd="t" o:hr="t"/>
        </w:pict>
      </w:r>
    </w:p>
    <w:bookmarkEnd w:id="22"/>
    <w:bookmarkStart w:id="23" w:name="Xc2789d8b54bd02896dff37dbc7ad60a7fc97808"/>
    <w:p>
      <w:pPr>
        <w:pStyle w:val="Heading3"/>
      </w:pPr>
      <w:r>
        <w:t xml:space="preserve">Q1.3 What is the geographic distribution of Nike’s business?</w:t>
      </w:r>
    </w:p>
    <w:p>
      <w:pPr>
        <w:pStyle w:val="FirstParagraph"/>
      </w:pPr>
      <w:r>
        <w:t xml:space="preserve">Nike reports revenue by geography. Based on the</w:t>
      </w:r>
      <w:r>
        <w:t xml:space="preserve"> </w:t>
      </w:r>
      <w:r>
        <w:rPr>
          <w:b/>
          <w:bCs/>
        </w:rPr>
        <w:t xml:space="preserve">Product &amp; Geog.</w:t>
      </w:r>
      <w:r>
        <w:t xml:space="preserve"> </w:t>
      </w:r>
      <w:r>
        <w:t xml:space="preserve">sheet and the 10-K:</w:t>
      </w:r>
    </w:p>
    <w:p>
      <w:pPr>
        <w:pStyle w:val="BodyText"/>
      </w:pPr>
      <w:r>
        <w:rPr>
          <w:b/>
          <w:bCs/>
        </w:rPr>
        <w:t xml:space="preserve">FY2025 Revenue Distribution ($mn):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</w:pPr>
            <w:r>
              <w:t xml:space="preserve">19,572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EMEA</w:t>
            </w:r>
          </w:p>
        </w:tc>
        <w:tc>
          <w:tcPr/>
          <w:p>
            <w:pPr>
              <w:pStyle w:val="Compact"/>
            </w:pPr>
            <w:r>
              <w:t xml:space="preserve">12,257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China</w:t>
            </w:r>
          </w:p>
        </w:tc>
        <w:tc>
          <w:tcPr/>
          <w:p>
            <w:pPr>
              <w:pStyle w:val="Compact"/>
            </w:pPr>
            <w:r>
              <w:t xml:space="preserve">6,586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 Pacific &amp; Latin America</w:t>
            </w:r>
          </w:p>
        </w:tc>
        <w:tc>
          <w:tcPr/>
          <w:p>
            <w:pPr>
              <w:pStyle w:val="Compact"/>
            </w:pPr>
            <w:r>
              <w:t xml:space="preserve">6,251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Converse</w:t>
            </w:r>
          </w:p>
        </w:tc>
        <w:tc>
          <w:tcPr/>
          <w:p>
            <w:pPr>
              <w:pStyle w:val="Compact"/>
            </w:pPr>
            <w:r>
              <w:t xml:space="preserve">1,692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46,309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The 10-K states that</w:t>
      </w:r>
      <w:r>
        <w:t xml:space="preserve"> </w:t>
      </w:r>
      <w:r>
        <w:rPr>
          <w:b/>
          <w:bCs/>
        </w:rPr>
        <w:t xml:space="preserve">U.S. sales accounted for approximately 43%</w:t>
      </w:r>
      <w:r>
        <w:t xml:space="preserve"> </w:t>
      </w:r>
      <w:r>
        <w:t xml:space="preserve">of total revenues in FY2025 (Nike Brand + Converse), and</w:t>
      </w:r>
      <w:r>
        <w:t xml:space="preserve"> </w:t>
      </w:r>
      <w:r>
        <w:rPr>
          <w:b/>
          <w:bCs/>
        </w:rPr>
        <w:t xml:space="preserve">non-U.S. sales for approximately 57%</w:t>
      </w:r>
      <w:r>
        <w:t xml:space="preserve">. Nike is geographically diversified, with North America as the largest region but significant exposure to EMEA, Greater China, and APLA.</w:t>
      </w:r>
    </w:p>
    <w:p>
      <w:r>
        <w:pict>
          <v:rect style="width:0;height:1.5pt" o:hralign="center" o:hrstd="t" o:hr="t"/>
        </w:pict>
      </w:r>
    </w:p>
    <w:bookmarkEnd w:id="23"/>
    <w:bookmarkStart w:id="24" w:name="X1ff8e7bdbc2ee8528a40b21d9027c14b67b4c3a"/>
    <w:p>
      <w:pPr>
        <w:pStyle w:val="Heading3"/>
      </w:pPr>
      <w:r>
        <w:t xml:space="preserve">Q1.4 Nike and Adidas: Do they compete across sports or are they geographically focused?</w:t>
      </w:r>
    </w:p>
    <w:p>
      <w:pPr>
        <w:pStyle w:val="FirstParagraph"/>
      </w:pPr>
      <w:r>
        <w:rPr>
          <w:b/>
          <w:bCs/>
        </w:rPr>
        <w:t xml:space="preserve">They compete across sports globally</w:t>
      </w:r>
      <w:r>
        <w:t xml:space="preserve"> </w:t>
      </w:r>
      <w:r>
        <w:t xml:space="preserve">— they are not geographically focused.</w:t>
      </w:r>
    </w:p>
    <w:p>
      <w:pPr>
        <w:pStyle w:val="Compact"/>
        <w:numPr>
          <w:ilvl w:val="0"/>
          <w:numId w:val="1010"/>
        </w:numPr>
      </w:pPr>
      <w:r>
        <w:t xml:space="preserve">Both Nike and Adidas sponsor a broad range of sports: football (soccer), basketball, running, tennis, golf, etc., across multiple regions.</w:t>
      </w:r>
    </w:p>
    <w:p>
      <w:pPr>
        <w:pStyle w:val="Compact"/>
        <w:numPr>
          <w:ilvl w:val="0"/>
          <w:numId w:val="1010"/>
        </w:numPr>
      </w:pPr>
      <w:r>
        <w:t xml:space="preserve">Nike sponsors the NBA, NFL, major European football clubs (e.g., Barcelona), national teams (France, England, and recently Germany, taken from Adidas after 77 years), and global athletes.</w:t>
      </w:r>
    </w:p>
    <w:p>
      <w:pPr>
        <w:pStyle w:val="Compact"/>
        <w:numPr>
          <w:ilvl w:val="0"/>
          <w:numId w:val="1010"/>
        </w:numPr>
      </w:pPr>
      <w:r>
        <w:t xml:space="preserve">Adidas sponsors Real Madrid, Manchester United, MLS, and national teams (Italy, Spain).</w:t>
      </w:r>
    </w:p>
    <w:p>
      <w:pPr>
        <w:pStyle w:val="Compact"/>
        <w:numPr>
          <w:ilvl w:val="0"/>
          <w:numId w:val="1010"/>
        </w:numPr>
      </w:pPr>
      <w:r>
        <w:t xml:space="preserve">Both brands invest heavily in football globally; soccer accounts for over 40% of apparel sponsorship deal volume.</w:t>
      </w:r>
    </w:p>
    <w:p>
      <w:pPr>
        <w:pStyle w:val="Compact"/>
        <w:numPr>
          <w:ilvl w:val="0"/>
          <w:numId w:val="1010"/>
        </w:numPr>
      </w:pPr>
      <w:r>
        <w:t xml:space="preserve">They compete for the same athletes, teams, and leagues worldwide — e.g., Nike’s successful bid for the German national team from Adidas in 2024.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1ffefe73771260f251515652cbc2dd738b23f14"/>
    <w:p>
      <w:pPr>
        <w:pStyle w:val="Heading2"/>
      </w:pPr>
      <w:r>
        <w:t xml:space="preserve">Question 2: Nike – Asset Value (8 sub-questions)</w:t>
      </w:r>
    </w:p>
    <w:bookmarkStart w:id="26" w:name="X0f35733d5640acc567029532cd41dd8663df801"/>
    <w:p>
      <w:pPr>
        <w:pStyle w:val="Heading3"/>
      </w:pPr>
      <w:r>
        <w:t xml:space="preserve">Q2.1 Where are Nike’s marketing expenses reported? What does that number include? What is “demand creation”?</w:t>
      </w:r>
    </w:p>
    <w:p>
      <w:pPr>
        <w:pStyle w:val="FirstParagraph"/>
      </w:pPr>
      <w:r>
        <w:t xml:space="preserve">Nike’s marketing expenses are reported in the</w:t>
      </w:r>
      <w:r>
        <w:t xml:space="preserve"> </w:t>
      </w:r>
      <w:r>
        <w:rPr>
          <w:b/>
          <w:bCs/>
        </w:rPr>
        <w:t xml:space="preserve">Consolidated Statements of Income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“Demand creation expense”</w:t>
      </w:r>
      <w:r>
        <w:t xml:space="preserve">, which is a line item within</w:t>
      </w:r>
      <w:r>
        <w:t xml:space="preserve"> </w:t>
      </w:r>
      <w:r>
        <w:rPr>
          <w:b/>
          <w:bCs/>
        </w:rPr>
        <w:t xml:space="preserve">Total selling and administrative expense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it includes</w:t>
      </w:r>
      <w:r>
        <w:t xml:space="preserve">: Demand creation expense covers (1)</w:t>
      </w:r>
      <w:r>
        <w:t xml:space="preserve"> </w:t>
      </w:r>
      <w:r>
        <w:rPr>
          <w:b/>
          <w:bCs/>
        </w:rPr>
        <w:t xml:space="preserve">advertising and marketing</w:t>
      </w:r>
      <w:r>
        <w:t xml:space="preserve"> </w:t>
      </w:r>
      <w:r>
        <w:t xml:space="preserve">(brand campaigns, digital, media) and (2)</w:t>
      </w:r>
      <w:r>
        <w:t xml:space="preserve"> </w:t>
      </w:r>
      <w:r>
        <w:rPr>
          <w:b/>
          <w:bCs/>
        </w:rPr>
        <w:t xml:space="preserve">sports marketing</w:t>
      </w:r>
      <w:r>
        <w:t xml:space="preserve"> </w:t>
      </w:r>
      <w:r>
        <w:t xml:space="preserve">(athlete endorsements, team/league sponsorships, events).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“Demand creation”</w:t>
      </w:r>
      <w:r>
        <w:t xml:space="preserve">: Nike’s term for brand-building spending that drives consumer demand. It is the portion of SG&amp;A that functions as marketing investment.</w:t>
      </w:r>
    </w:p>
    <w:bookmarkEnd w:id="26"/>
    <w:bookmarkStart w:id="27" w:name="Xae370bc24c12b981b0da1a8dc3746d722dd0b48"/>
    <w:p>
      <w:pPr>
        <w:pStyle w:val="Heading3"/>
      </w:pPr>
      <w:r>
        <w:t xml:space="preserve">Q2.2 Capitalization of marketing expenses: Brand value by discounting demand creation (WACC 9%)</w:t>
      </w:r>
    </w:p>
    <w:p>
      <w:pPr>
        <w:pStyle w:val="FirstParagraph"/>
      </w:pPr>
      <w:r>
        <w:t xml:space="preserve">Treating demand creation as a perpetuity:</w:t>
      </w:r>
      <w:r>
        <w:t xml:space="preserve"> </w:t>
      </w:r>
      <w:r>
        <w:rPr>
          <w:b/>
          <w:bCs/>
        </w:rPr>
        <w:t xml:space="preserve">Brand value ≈ Demand creation ÷ WACC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FY2025 demand creation:</w:t>
      </w:r>
      <w:r>
        <w:t xml:space="preserve"> </w:t>
      </w:r>
      <w:r>
        <w:rPr>
          <w:b/>
          <w:bCs/>
        </w:rPr>
        <w:t xml:space="preserve">$4,689 mn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Perpetuity value: 4,689 ÷ 0.09 ≈</w:t>
      </w:r>
      <w:r>
        <w:t xml:space="preserve"> </w:t>
      </w:r>
      <w:r>
        <w:rPr>
          <w:b/>
          <w:bCs/>
        </w:rPr>
        <w:t xml:space="preserve">$52.1 bn</w:t>
      </w:r>
    </w:p>
    <w:p>
      <w:pPr>
        <w:pStyle w:val="FirstParagraph"/>
      </w:pPr>
      <w:r>
        <w:t xml:space="preserve">Using a 10-year average (~$3,200 mn): 3,200 ÷ 0.09 ≈</w:t>
      </w:r>
      <w:r>
        <w:t xml:space="preserve"> </w:t>
      </w:r>
      <w:r>
        <w:rPr>
          <w:b/>
          <w:bCs/>
        </w:rPr>
        <w:t xml:space="preserve">$35.6 bn</w:t>
      </w:r>
      <w:r>
        <w:t xml:space="preserve">.</w:t>
      </w:r>
    </w:p>
    <w:bookmarkEnd w:id="27"/>
    <w:bookmarkStart w:id="28" w:name="Xc64a113b56be3be99de99cf0b90baf551033c22"/>
    <w:p>
      <w:pPr>
        <w:pStyle w:val="Heading3"/>
      </w:pPr>
      <w:r>
        <w:t xml:space="preserve">Q2.3 Comparison to marketing company estimates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Interbrand</w:t>
      </w:r>
      <w:r>
        <w:t xml:space="preserve"> </w:t>
      </w:r>
      <w:r>
        <w:t xml:space="preserve">(2025): Nike ≈</w:t>
      </w:r>
      <w:r>
        <w:t xml:space="preserve"> </w:t>
      </w:r>
      <w:r>
        <w:rPr>
          <w:b/>
          <w:bCs/>
        </w:rPr>
        <w:t xml:space="preserve">$33.7 bn</w:t>
      </w:r>
      <w:r>
        <w:t xml:space="preserve"> </w:t>
      </w:r>
      <w:r>
        <w:t xml:space="preserve">(down from $45.4 bn in 2024, $53.8 bn in 2023).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Our perpetuity estimate using current spend ($52 bn) is above Interbrand, reflecting that we treat all demand creation as brand investment. Using a normalized or lower growth assumption would bring our estimate closer to Interbrand’s $34–45 bn range.</w:t>
      </w:r>
    </w:p>
    <w:bookmarkEnd w:id="28"/>
    <w:bookmarkStart w:id="29" w:name="q2.4-royalty-relief-method"/>
    <w:p>
      <w:pPr>
        <w:pStyle w:val="Heading3"/>
      </w:pPr>
      <w:r>
        <w:t xml:space="preserve">Q2.4 Royalty Relief Method</w:t>
      </w:r>
    </w:p>
    <w:p>
      <w:pPr>
        <w:pStyle w:val="Compact"/>
        <w:numPr>
          <w:ilvl w:val="0"/>
          <w:numId w:val="1014"/>
        </w:numPr>
      </w:pPr>
      <w:r>
        <w:t xml:space="preserve">Sustainable revenue:</w:t>
      </w:r>
      <w:r>
        <w:t xml:space="preserve"> </w:t>
      </w:r>
      <w:r>
        <w:rPr>
          <w:b/>
          <w:bCs/>
        </w:rPr>
        <w:t xml:space="preserve">$46.3 bn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Royalty rate:</w:t>
      </w:r>
      <w:r>
        <w:t xml:space="preserve"> </w:t>
      </w:r>
      <w:r>
        <w:rPr>
          <w:b/>
          <w:bCs/>
        </w:rPr>
        <w:t xml:space="preserve">13%</w:t>
      </w:r>
      <w:r>
        <w:t xml:space="preserve"> </w:t>
      </w:r>
      <w:r>
        <w:t xml:space="preserve">→ Imputed royalty = 0.13 × 46.3 =</w:t>
      </w:r>
      <w:r>
        <w:t xml:space="preserve"> </w:t>
      </w:r>
      <w:r>
        <w:rPr>
          <w:b/>
          <w:bCs/>
        </w:rPr>
        <w:t xml:space="preserve">$6.02 bn/year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Perpetuity (no amortization): 6.02 ÷ 0.09 ≈</w:t>
      </w:r>
      <w:r>
        <w:t xml:space="preserve"> </w:t>
      </w:r>
      <w:r>
        <w:rPr>
          <w:b/>
          <w:bCs/>
        </w:rPr>
        <w:t xml:space="preserve">$66.9 bn</w:t>
      </w:r>
    </w:p>
    <w:bookmarkEnd w:id="29"/>
    <w:bookmarkStart w:id="30" w:name="q2.5-brand-value-with-10-amortization"/>
    <w:p>
      <w:pPr>
        <w:pStyle w:val="Heading3"/>
      </w:pPr>
      <w:r>
        <w:t xml:space="preserve">Q2.5 Brand value with 10% amortization</w:t>
      </w:r>
    </w:p>
    <w:p>
      <w:pPr>
        <w:pStyle w:val="Compact"/>
        <w:numPr>
          <w:ilvl w:val="0"/>
          <w:numId w:val="1015"/>
        </w:numPr>
      </w:pPr>
      <w:r>
        <w:t xml:space="preserve">Brand value = Royalty relief ÷ (WACC + amortization rate) = 6.02 ÷ (0.09 + 0.10) =</w:t>
      </w:r>
      <w:r>
        <w:t xml:space="preserve"> </w:t>
      </w:r>
      <w:r>
        <w:rPr>
          <w:b/>
          <w:bCs/>
        </w:rPr>
        <w:t xml:space="preserve">$31.7 bn</w:t>
      </w:r>
    </w:p>
    <w:bookmarkEnd w:id="30"/>
    <w:bookmarkStart w:id="31" w:name="X9d182ca51b51c26bfea6a7f141b73f9ef962960"/>
    <w:p>
      <w:pPr>
        <w:pStyle w:val="Heading3"/>
      </w:pPr>
      <w:r>
        <w:t xml:space="preserve">Q2.6 Reasonable assessment of brand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Brand value (approx.)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Capitalization (current DC)</w:t>
            </w:r>
          </w:p>
        </w:tc>
        <w:tc>
          <w:tcPr/>
          <w:p>
            <w:pPr>
              <w:pStyle w:val="Compact"/>
            </w:pPr>
            <w:r>
              <w:t xml:space="preserve">$52 bn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Capitalization (avg DC)</w:t>
            </w:r>
          </w:p>
        </w:tc>
        <w:tc>
          <w:tcPr/>
          <w:p>
            <w:pPr>
              <w:pStyle w:val="Compact"/>
            </w:pPr>
            <w:r>
              <w:t xml:space="preserve">~$36 bn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Royalty relief (perpetuity)</w:t>
            </w:r>
          </w:p>
        </w:tc>
        <w:tc>
          <w:tcPr/>
          <w:p>
            <w:pPr>
              <w:pStyle w:val="Compact"/>
            </w:pPr>
            <w:r>
              <w:t xml:space="preserve">$67 bn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Royalty relief (10% amortization)</w:t>
            </w:r>
          </w:p>
        </w:tc>
        <w:tc>
          <w:tcPr/>
          <w:p>
            <w:pPr>
              <w:pStyle w:val="Compact"/>
            </w:pPr>
            <w:r>
              <w:t xml:space="preserve">$32 bn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Interbrand 2025</w:t>
            </w:r>
          </w:p>
        </w:tc>
        <w:tc>
          <w:tcPr/>
          <w:p>
            <w:pPr>
              <w:pStyle w:val="Compact"/>
            </w:pPr>
            <w:r>
              <w:t xml:space="preserve">$34 bn</w:t>
            </w:r>
          </w:p>
        </w:tc>
      </w:tr>
    </w:tbl>
    <w:p>
      <w:pPr>
        <w:pStyle w:val="BodyText"/>
      </w:pPr>
      <w:r>
        <w:t xml:space="preserve">A reasonable range is</w:t>
      </w:r>
      <w:r>
        <w:t xml:space="preserve"> </w:t>
      </w:r>
      <w:r>
        <w:rPr>
          <w:b/>
          <w:bCs/>
        </w:rPr>
        <w:t xml:space="preserve">$32–40 bn</w:t>
      </w:r>
      <w:r>
        <w:t xml:space="preserve">, consistent with royalty relief (with amortization) and Interbrand, and accounting for the need to maintain spending to sustain the brand.</w:t>
      </w:r>
    </w:p>
    <w:bookmarkEnd w:id="31"/>
    <w:bookmarkStart w:id="32" w:name="Xde149de857463bdaae0a4b3e7415ed0e312ed84"/>
    <w:p>
      <w:pPr>
        <w:pStyle w:val="Heading3"/>
      </w:pPr>
      <w:r>
        <w:t xml:space="preserve">Q2.7 Demand creation: FY2020–FY2021 drop and FY2022 recovery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Demand Creation</w:t>
      </w:r>
      <w:r>
        <w:t xml:space="preserve"> </w:t>
      </w:r>
      <w:r>
        <w:t xml:space="preserve">sheet: FY2020 = $3,592 mn, FY2021 = $3,114 mn (drop), FY2022 = $3,850 mn (recovery).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FY2020–FY2021 drop</w:t>
      </w:r>
      <w:r>
        <w:t xml:space="preserve">: COVID-19 led to event cancellations (Olympics, leagues, tournaments) and reduced sports marketing. Nike cut discretionary spend and postponed campaigns.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FY2022 recovery</w:t>
      </w:r>
      <w:r>
        <w:t xml:space="preserve">: Sports resumed, events returned, and Nike ramped up marketing again. The FY2022 10-K (p. 32) discusses the impact of COVID on demand creation and its rebound as activities normalized.</w:t>
      </w:r>
    </w:p>
    <w:bookmarkEnd w:id="32"/>
    <w:bookmarkStart w:id="33" w:name="q2.8-asset-value-brand-as-main-component"/>
    <w:p>
      <w:pPr>
        <w:pStyle w:val="Heading3"/>
      </w:pPr>
      <w:r>
        <w:t xml:space="preserve">Q2.8 Asset value (brand as main component)</w:t>
      </w:r>
    </w:p>
    <w:p>
      <w:pPr>
        <w:pStyle w:val="FirstParagraph"/>
      </w:pPr>
      <w:r>
        <w:t xml:space="preserve">Ignoring minor adjustments:</w:t>
      </w:r>
      <w:r>
        <w:t xml:space="preserve"> </w:t>
      </w:r>
      <w:r>
        <w:rPr>
          <w:b/>
          <w:bCs/>
        </w:rPr>
        <w:t xml:space="preserve">Asset Value ≈ Brand value</w:t>
      </w:r>
      <w:r>
        <w:t xml:space="preserve"> </w:t>
      </w:r>
      <w:r>
        <w:t xml:space="preserve">(as instructed).</w:t>
      </w:r>
    </w:p>
    <w:p>
      <w:pPr>
        <w:pStyle w:val="Compact"/>
        <w:numPr>
          <w:ilvl w:val="0"/>
          <w:numId w:val="1017"/>
        </w:numPr>
      </w:pPr>
      <w:r>
        <w:t xml:space="preserve">Brand value (reasonable estimate):</w:t>
      </w:r>
      <w:r>
        <w:t xml:space="preserve"> </w:t>
      </w:r>
      <w:r>
        <w:rPr>
          <w:b/>
          <w:bCs/>
        </w:rPr>
        <w:t xml:space="preserve">~$35 bn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Asset Value ≈ $35 bn</w:t>
      </w:r>
      <w:r>
        <w:t xml:space="preserve"> </w:t>
      </w:r>
      <w:r>
        <w:t xml:space="preserve">(other adjustments treated as second-order).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ata-source"/>
    <w:p>
      <w:pPr>
        <w:pStyle w:val="Heading2"/>
      </w:pPr>
      <w:r>
        <w:t xml:space="preserve">Data Source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NKE-Homework-2026-1.xlsx</w:t>
      </w:r>
      <w:r>
        <w:t xml:space="preserve">, sheet</w:t>
      </w:r>
      <w:r>
        <w:t xml:space="preserve"> </w:t>
      </w:r>
      <w:r>
        <w:t xml:space="preserve">“Industry”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FX</w:t>
      </w:r>
      <w:r>
        <w:t xml:space="preserve">: Adidas and Puma converted from EUR to USD using annual rates from the sheet; Asics from JPY to USD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Period</w:t>
      </w:r>
      <w:r>
        <w:t xml:space="preserve">: Revenue shares from 2014 (first full year of Asics data); operating margins from 2006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2026-02-24T02:03:55Z</dcterms:created>
  <dcterms:modified xsi:type="dcterms:W3CDTF">2026-02-24T02:03:55Z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